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27" w:rsidRPr="00670B38" w:rsidRDefault="001B2F27">
      <w:pPr>
        <w:rPr>
          <w:rFonts w:ascii="Arial" w:hAnsi="Arial" w:cs="Arial"/>
        </w:rPr>
      </w:pPr>
    </w:p>
    <w:p w:rsidR="00670B38" w:rsidRPr="00670B38" w:rsidRDefault="005D1139" w:rsidP="00670B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 Decisions 2018</w:t>
      </w:r>
      <w:r w:rsidR="00670B38" w:rsidRPr="00670B38">
        <w:rPr>
          <w:rFonts w:ascii="Arial" w:hAnsi="Arial" w:cs="Arial"/>
          <w:b/>
        </w:rPr>
        <w:br/>
        <w:t>(Under the amended Regulations)</w:t>
      </w:r>
    </w:p>
    <w:p w:rsidR="00670B38" w:rsidRPr="00670B38" w:rsidRDefault="00670B38">
      <w:pPr>
        <w:rPr>
          <w:rFonts w:ascii="Arial" w:hAnsi="Arial" w:cs="Arial"/>
        </w:rPr>
      </w:pPr>
    </w:p>
    <w:tbl>
      <w:tblPr>
        <w:tblW w:w="10490" w:type="dxa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8796"/>
        <w:gridCol w:w="1694"/>
      </w:tblGrid>
      <w:tr w:rsidR="00146B51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146B51" w:rsidRDefault="005D1139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bookmarkStart w:id="0" w:name="OLE_LINK1"/>
            <w:bookmarkStart w:id="1" w:name="OLE_LINK2"/>
            <w:r>
              <w:rPr>
                <w:bCs w:val="0"/>
                <w:color w:val="1F497D" w:themeColor="text2"/>
                <w:sz w:val="22"/>
                <w:szCs w:val="20"/>
              </w:rPr>
              <w:t>Brogan Healthcare</w:t>
            </w:r>
            <w:r w:rsidR="00FC7472" w:rsidRPr="00FC7472">
              <w:rPr>
                <w:bCs w:val="0"/>
                <w:color w:val="1F497D" w:themeColor="text2"/>
                <w:sz w:val="22"/>
                <w:szCs w:val="20"/>
              </w:rPr>
              <w:t xml:space="preserve"> Ltd</w:t>
            </w:r>
            <w:r w:rsidR="00FC7472">
              <w:rPr>
                <w:b w:val="0"/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="00146B51" w:rsidRPr="0055635D">
              <w:rPr>
                <w:b w:val="0"/>
                <w:bCs w:val="0"/>
                <w:sz w:val="22"/>
                <w:szCs w:val="20"/>
              </w:rPr>
              <w:t>against the decision of the Pharmacy Practices Committee of NHS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Greater Glasgow and Clyde </w:t>
            </w:r>
            <w:r>
              <w:rPr>
                <w:b w:val="0"/>
                <w:bCs w:val="0"/>
                <w:sz w:val="22"/>
                <w:szCs w:val="20"/>
              </w:rPr>
              <w:t>19</w:t>
            </w:r>
            <w:r w:rsidRPr="005D1139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>
              <w:rPr>
                <w:b w:val="0"/>
                <w:bCs w:val="0"/>
                <w:sz w:val="22"/>
                <w:szCs w:val="20"/>
              </w:rPr>
              <w:t xml:space="preserve"> March 2018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146B51" w:rsidRPr="0055635D">
              <w:rPr>
                <w:b w:val="0"/>
                <w:bCs w:val="0"/>
                <w:sz w:val="22"/>
                <w:szCs w:val="20"/>
              </w:rPr>
              <w:t>to refuse an application made by the Applicants and Appellants received by th</w:t>
            </w:r>
            <w:r w:rsidR="00BF0D7F">
              <w:rPr>
                <w:b w:val="0"/>
                <w:bCs w:val="0"/>
                <w:sz w:val="22"/>
                <w:szCs w:val="20"/>
              </w:rPr>
              <w:t xml:space="preserve">e board dated </w:t>
            </w:r>
            <w:r>
              <w:rPr>
                <w:b w:val="0"/>
                <w:bCs w:val="0"/>
                <w:sz w:val="22"/>
                <w:szCs w:val="20"/>
              </w:rPr>
              <w:t>18</w:t>
            </w:r>
            <w:r w:rsidRPr="005D1139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>
              <w:rPr>
                <w:b w:val="0"/>
                <w:bCs w:val="0"/>
                <w:sz w:val="22"/>
                <w:szCs w:val="20"/>
              </w:rPr>
              <w:t xml:space="preserve"> September </w:t>
            </w:r>
            <w:r w:rsidR="00FC7472">
              <w:rPr>
                <w:b w:val="0"/>
                <w:bCs w:val="0"/>
                <w:sz w:val="22"/>
                <w:szCs w:val="20"/>
              </w:rPr>
              <w:t>2017</w:t>
            </w:r>
            <w:r w:rsidR="00BF0D7F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1B3629">
              <w:rPr>
                <w:b w:val="0"/>
                <w:bCs w:val="0"/>
                <w:sz w:val="22"/>
                <w:szCs w:val="20"/>
              </w:rPr>
              <w:t xml:space="preserve"> in respect of premises at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143B06">
              <w:rPr>
                <w:b w:val="0"/>
                <w:bCs w:val="0"/>
                <w:sz w:val="22"/>
                <w:szCs w:val="20"/>
              </w:rPr>
              <w:t xml:space="preserve">4 </w:t>
            </w:r>
            <w:proofErr w:type="spellStart"/>
            <w:r w:rsidR="00143B06">
              <w:rPr>
                <w:b w:val="0"/>
                <w:bCs w:val="0"/>
                <w:sz w:val="22"/>
                <w:szCs w:val="20"/>
              </w:rPr>
              <w:t>Blackford</w:t>
            </w:r>
            <w:proofErr w:type="spellEnd"/>
            <w:r w:rsidR="00143B06">
              <w:rPr>
                <w:b w:val="0"/>
                <w:bCs w:val="0"/>
                <w:sz w:val="22"/>
                <w:szCs w:val="20"/>
              </w:rPr>
              <w:t xml:space="preserve"> Road, Paisley, PA2 7EN.</w:t>
            </w:r>
          </w:p>
          <w:bookmarkEnd w:id="0"/>
          <w:bookmarkEnd w:id="1"/>
          <w:p w:rsidR="00257EAE" w:rsidRPr="00670B38" w:rsidRDefault="00143B06" w:rsidP="00A0619C">
            <w:pPr>
              <w:ind w:right="245"/>
              <w:jc w:val="both"/>
              <w:rPr>
                <w:bCs/>
                <w:color w:val="006699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Returned to Board 23</w:t>
            </w:r>
            <w:r w:rsidRPr="00143B06">
              <w:rPr>
                <w:rFonts w:ascii="Arial" w:hAnsi="Arial" w:cs="Arial"/>
                <w:b/>
                <w:bCs/>
                <w:sz w:val="22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July 2018</w:t>
            </w:r>
          </w:p>
        </w:tc>
        <w:tc>
          <w:tcPr>
            <w:tcW w:w="1694" w:type="dxa"/>
            <w:vAlign w:val="center"/>
          </w:tcPr>
          <w:p w:rsidR="00146B51" w:rsidRDefault="009D6E4B" w:rsidP="00670646">
            <w:pPr>
              <w:jc w:val="center"/>
              <w:rPr>
                <w:noProof/>
                <w:lang w:eastAsia="en-GB"/>
              </w:rPr>
            </w:pPr>
            <w:r w:rsidRPr="009D6E4B">
              <w:rPr>
                <w:noProof/>
                <w:lang w:eastAsia="en-GB"/>
              </w:rPr>
              <w:drawing>
                <wp:inline distT="0" distB="0" distL="0" distR="0">
                  <wp:extent cx="514350" cy="514350"/>
                  <wp:effectExtent l="19050" t="0" r="0" b="0"/>
                  <wp:docPr id="16" name="Picture 0" descr="Adobe_PDF_icon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F7D" w:rsidRPr="00025F7D" w:rsidRDefault="004A3342" w:rsidP="00025F7D">
            <w:pPr>
              <w:jc w:val="center"/>
            </w:pPr>
            <w:hyperlink r:id="rId9" w:history="1">
              <w:r w:rsidR="0024110F" w:rsidRPr="004175AF">
                <w:rPr>
                  <w:rStyle w:val="Hyperlink"/>
                </w:rPr>
                <w:t>(</w:t>
              </w:r>
              <w:r w:rsidR="00143B06">
                <w:rPr>
                  <w:rStyle w:val="Hyperlink"/>
                </w:rPr>
                <w:t>18-76</w:t>
              </w:r>
              <w:r w:rsidR="004175AF" w:rsidRPr="004175AF">
                <w:rPr>
                  <w:rStyle w:val="Hyperlink"/>
                  <w:noProof/>
                  <w:lang w:eastAsia="en-GB"/>
                </w:rPr>
                <w:t>)</w:t>
              </w:r>
            </w:hyperlink>
          </w:p>
        </w:tc>
      </w:tr>
      <w:tr w:rsidR="00025F7D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025F7D" w:rsidRDefault="00025F7D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  <w:p w:rsidR="00025F7D" w:rsidRDefault="00025F7D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 w:rsidRPr="00025F7D">
              <w:rPr>
                <w:bCs w:val="0"/>
                <w:color w:val="1F497D" w:themeColor="text2"/>
                <w:sz w:val="22"/>
                <w:szCs w:val="20"/>
              </w:rPr>
              <w:t>Barrie Dear/</w:t>
            </w:r>
            <w:proofErr w:type="spellStart"/>
            <w:r w:rsidRPr="00025F7D">
              <w:rPr>
                <w:bCs w:val="0"/>
                <w:color w:val="1F497D" w:themeColor="text2"/>
                <w:sz w:val="22"/>
                <w:szCs w:val="20"/>
              </w:rPr>
              <w:t>Mahyar</w:t>
            </w:r>
            <w:proofErr w:type="spellEnd"/>
            <w:r w:rsidRPr="00025F7D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proofErr w:type="spellStart"/>
            <w:r w:rsidRPr="00025F7D">
              <w:rPr>
                <w:bCs w:val="0"/>
                <w:color w:val="1F497D" w:themeColor="text2"/>
                <w:sz w:val="22"/>
                <w:szCs w:val="20"/>
              </w:rPr>
              <w:t>Nickkho-Amiry</w:t>
            </w:r>
            <w:proofErr w:type="spellEnd"/>
            <w:r w:rsidRPr="00025F7D">
              <w:rPr>
                <w:bCs w:val="0"/>
                <w:color w:val="1F497D" w:themeColor="text2"/>
                <w:sz w:val="22"/>
                <w:szCs w:val="20"/>
              </w:rPr>
              <w:t xml:space="preserve"> for Barrie Dear Ltd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Pr="00025F7D">
              <w:rPr>
                <w:b w:val="0"/>
                <w:bCs w:val="0"/>
                <w:sz w:val="22"/>
                <w:szCs w:val="20"/>
              </w:rPr>
              <w:t>against the decision of the Pharmacy Practices Committee of NHS Lothian</w:t>
            </w:r>
            <w:r w:rsidRPr="00AB163E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AB163E" w:rsidRPr="00AB163E">
              <w:rPr>
                <w:b w:val="0"/>
                <w:bCs w:val="0"/>
                <w:sz w:val="22"/>
                <w:szCs w:val="20"/>
              </w:rPr>
              <w:t xml:space="preserve">made on </w:t>
            </w:r>
            <w:r w:rsidR="00AB163E">
              <w:rPr>
                <w:b w:val="0"/>
                <w:bCs w:val="0"/>
                <w:sz w:val="22"/>
                <w:szCs w:val="20"/>
              </w:rPr>
              <w:t>25</w:t>
            </w:r>
            <w:r w:rsidR="00AB163E" w:rsidRPr="00AB163E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="00AB163E">
              <w:rPr>
                <w:b w:val="0"/>
                <w:bCs w:val="0"/>
                <w:sz w:val="22"/>
                <w:szCs w:val="20"/>
              </w:rPr>
              <w:t xml:space="preserve"> April </w:t>
            </w:r>
            <w:r w:rsidR="00AB163E" w:rsidRPr="00AB163E">
              <w:rPr>
                <w:b w:val="0"/>
                <w:bCs w:val="0"/>
                <w:sz w:val="22"/>
                <w:szCs w:val="20"/>
              </w:rPr>
              <w:t xml:space="preserve">2018 to refuse an application made by the Applicants and Appellants received by the board dated </w:t>
            </w:r>
            <w:r w:rsidR="00AB163E">
              <w:rPr>
                <w:b w:val="0"/>
                <w:bCs w:val="0"/>
                <w:sz w:val="22"/>
                <w:szCs w:val="20"/>
              </w:rPr>
              <w:t>5</w:t>
            </w:r>
            <w:r w:rsidR="00AB163E" w:rsidRPr="00AB163E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="00AB163E">
              <w:rPr>
                <w:b w:val="0"/>
                <w:bCs w:val="0"/>
                <w:sz w:val="22"/>
                <w:szCs w:val="20"/>
              </w:rPr>
              <w:t xml:space="preserve"> May 2017</w:t>
            </w:r>
            <w:r w:rsidR="00AB163E" w:rsidRPr="00AB163E">
              <w:rPr>
                <w:b w:val="0"/>
                <w:bCs w:val="0"/>
                <w:sz w:val="22"/>
                <w:szCs w:val="20"/>
              </w:rPr>
              <w:t xml:space="preserve"> in respect of premises at 27 High Street, </w:t>
            </w:r>
            <w:proofErr w:type="spellStart"/>
            <w:r w:rsidR="00AB163E" w:rsidRPr="00AB163E">
              <w:rPr>
                <w:b w:val="0"/>
                <w:bCs w:val="0"/>
                <w:sz w:val="22"/>
                <w:szCs w:val="20"/>
              </w:rPr>
              <w:t>Aberlady</w:t>
            </w:r>
            <w:proofErr w:type="spellEnd"/>
            <w:r w:rsidR="00AB163E" w:rsidRPr="00AB163E">
              <w:rPr>
                <w:b w:val="0"/>
                <w:bCs w:val="0"/>
                <w:sz w:val="22"/>
                <w:szCs w:val="20"/>
              </w:rPr>
              <w:t>, EH32 0RA.</w:t>
            </w:r>
          </w:p>
          <w:p w:rsidR="00AB163E" w:rsidRDefault="00AB163E" w:rsidP="00670B38">
            <w:pPr>
              <w:pStyle w:val="BodyText2"/>
              <w:ind w:right="245"/>
              <w:rPr>
                <w:sz w:val="22"/>
                <w:szCs w:val="20"/>
              </w:rPr>
            </w:pPr>
            <w:r w:rsidRPr="00813DE3">
              <w:rPr>
                <w:sz w:val="22"/>
                <w:szCs w:val="20"/>
              </w:rPr>
              <w:t>Returned to Board 23rd August 2018</w:t>
            </w:r>
          </w:p>
          <w:p w:rsidR="00813DE3" w:rsidRDefault="00813DE3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25F7D" w:rsidRDefault="00025F7D" w:rsidP="00670646">
            <w:pPr>
              <w:jc w:val="center"/>
              <w:rPr>
                <w:noProof/>
                <w:lang w:eastAsia="en-GB"/>
              </w:rPr>
            </w:pPr>
          </w:p>
          <w:p w:rsidR="00025F7D" w:rsidRDefault="00025F7D" w:rsidP="00670646">
            <w:pPr>
              <w:jc w:val="center"/>
              <w:rPr>
                <w:noProof/>
                <w:lang w:eastAsia="en-GB"/>
              </w:rPr>
            </w:pPr>
          </w:p>
          <w:p w:rsidR="00813DE3" w:rsidRDefault="00025F7D" w:rsidP="00813DE3">
            <w:pPr>
              <w:jc w:val="center"/>
              <w:rPr>
                <w:noProof/>
                <w:lang w:eastAsia="en-GB"/>
              </w:rPr>
            </w:pPr>
            <w:r w:rsidRPr="00025F7D">
              <w:rPr>
                <w:noProof/>
                <w:lang w:eastAsia="en-GB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Picture 0" descr="Adobe_PDF_ic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18F" w:rsidRDefault="008A418F" w:rsidP="00813DE3">
            <w:pPr>
              <w:jc w:val="center"/>
              <w:rPr>
                <w:noProof/>
                <w:lang w:eastAsia="en-GB"/>
              </w:rPr>
            </w:pPr>
          </w:p>
          <w:p w:rsidR="00025F7D" w:rsidRDefault="004A3342" w:rsidP="008A418F">
            <w:pPr>
              <w:jc w:val="center"/>
            </w:pPr>
            <w:hyperlink r:id="rId11" w:history="1">
              <w:r w:rsidR="00025F7D" w:rsidRPr="00A81CFD">
                <w:rPr>
                  <w:rStyle w:val="Hyperlink"/>
                  <w:noProof/>
                  <w:lang w:eastAsia="en-GB"/>
                </w:rPr>
                <w:t>(18-77)</w:t>
              </w:r>
            </w:hyperlink>
          </w:p>
          <w:p w:rsidR="008A418F" w:rsidRPr="009D6E4B" w:rsidRDefault="008A418F" w:rsidP="00025F7D">
            <w:pPr>
              <w:rPr>
                <w:noProof/>
                <w:lang w:eastAsia="en-GB"/>
              </w:rPr>
            </w:pPr>
          </w:p>
        </w:tc>
      </w:tr>
      <w:tr w:rsidR="00025F7D" w:rsidRPr="00670B38" w:rsidTr="002A75E7">
        <w:trPr>
          <w:trHeight w:val="1787"/>
          <w:tblCellSpacing w:w="0" w:type="dxa"/>
        </w:trPr>
        <w:tc>
          <w:tcPr>
            <w:tcW w:w="8796" w:type="dxa"/>
            <w:vAlign w:val="center"/>
          </w:tcPr>
          <w:p w:rsidR="00025F7D" w:rsidRDefault="00813DE3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proofErr w:type="spellStart"/>
            <w:r w:rsidRPr="00813DE3">
              <w:rPr>
                <w:bCs w:val="0"/>
                <w:color w:val="1F497D" w:themeColor="text2"/>
                <w:sz w:val="22"/>
                <w:szCs w:val="20"/>
              </w:rPr>
              <w:t>Mauchline</w:t>
            </w:r>
            <w:proofErr w:type="spellEnd"/>
            <w:r w:rsidRPr="00813DE3">
              <w:rPr>
                <w:bCs w:val="0"/>
                <w:color w:val="1F497D" w:themeColor="text2"/>
                <w:sz w:val="22"/>
                <w:szCs w:val="20"/>
              </w:rPr>
              <w:t xml:space="preserve"> Pharmacy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Pr="00813DE3">
              <w:rPr>
                <w:b w:val="0"/>
                <w:bCs w:val="0"/>
                <w:sz w:val="22"/>
                <w:szCs w:val="20"/>
              </w:rPr>
              <w:t xml:space="preserve">against the decision of the Pharmacy Practices Committee of NHS Ayrshire and Arran made on 1st June 2018 to </w:t>
            </w:r>
            <w:r w:rsidR="00BC2481">
              <w:rPr>
                <w:b w:val="0"/>
                <w:bCs w:val="0"/>
                <w:sz w:val="22"/>
                <w:szCs w:val="20"/>
              </w:rPr>
              <w:t xml:space="preserve">refuse </w:t>
            </w:r>
            <w:r w:rsidRPr="00813DE3">
              <w:rPr>
                <w:b w:val="0"/>
                <w:bCs w:val="0"/>
                <w:sz w:val="22"/>
                <w:szCs w:val="20"/>
              </w:rPr>
              <w:t xml:space="preserve">an application made by the Applicants and Appellants dated 25th February 2018 in respect of premises at </w:t>
            </w:r>
            <w:proofErr w:type="spellStart"/>
            <w:r w:rsidRPr="00813DE3">
              <w:rPr>
                <w:b w:val="0"/>
                <w:bCs w:val="0"/>
                <w:sz w:val="22"/>
                <w:szCs w:val="20"/>
              </w:rPr>
              <w:t>Hughfield</w:t>
            </w:r>
            <w:proofErr w:type="spellEnd"/>
            <w:r w:rsidRPr="00813DE3">
              <w:rPr>
                <w:b w:val="0"/>
                <w:bCs w:val="0"/>
                <w:sz w:val="22"/>
                <w:szCs w:val="20"/>
              </w:rPr>
              <w:t xml:space="preserve"> Stores, </w:t>
            </w:r>
            <w:proofErr w:type="spellStart"/>
            <w:r w:rsidRPr="00813DE3">
              <w:rPr>
                <w:b w:val="0"/>
                <w:bCs w:val="0"/>
                <w:sz w:val="22"/>
                <w:szCs w:val="20"/>
              </w:rPr>
              <w:t>Hughfield</w:t>
            </w:r>
            <w:proofErr w:type="spellEnd"/>
            <w:r w:rsidRPr="00813DE3">
              <w:rPr>
                <w:b w:val="0"/>
                <w:bCs w:val="0"/>
                <w:sz w:val="22"/>
                <w:szCs w:val="20"/>
              </w:rPr>
              <w:t xml:space="preserve"> Road, </w:t>
            </w:r>
            <w:proofErr w:type="spellStart"/>
            <w:r w:rsidRPr="00813DE3">
              <w:rPr>
                <w:b w:val="0"/>
                <w:bCs w:val="0"/>
                <w:sz w:val="22"/>
                <w:szCs w:val="20"/>
              </w:rPr>
              <w:t>Mauchline</w:t>
            </w:r>
            <w:proofErr w:type="spellEnd"/>
            <w:r w:rsidRPr="00813DE3">
              <w:rPr>
                <w:b w:val="0"/>
                <w:bCs w:val="0"/>
                <w:sz w:val="22"/>
                <w:szCs w:val="20"/>
              </w:rPr>
              <w:t>, KA5 6DJ</w:t>
            </w:r>
            <w:r>
              <w:rPr>
                <w:b w:val="0"/>
                <w:bCs w:val="0"/>
                <w:sz w:val="22"/>
                <w:szCs w:val="20"/>
              </w:rPr>
              <w:t>.</w:t>
            </w:r>
          </w:p>
          <w:p w:rsidR="008A418F" w:rsidRDefault="00813DE3" w:rsidP="00670B38">
            <w:pPr>
              <w:pStyle w:val="BodyText2"/>
              <w:ind w:right="245"/>
              <w:rPr>
                <w:sz w:val="22"/>
                <w:szCs w:val="20"/>
              </w:rPr>
            </w:pPr>
            <w:r w:rsidRPr="00813DE3">
              <w:rPr>
                <w:sz w:val="22"/>
                <w:szCs w:val="20"/>
              </w:rPr>
              <w:t>Appeal dismissed 24th September 2018</w:t>
            </w:r>
          </w:p>
          <w:p w:rsidR="008A418F" w:rsidRDefault="008A418F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25F7D" w:rsidRDefault="008A418F" w:rsidP="008A418F">
            <w:pPr>
              <w:jc w:val="center"/>
              <w:rPr>
                <w:noProof/>
                <w:lang w:eastAsia="en-GB"/>
              </w:rPr>
            </w:pPr>
            <w:r w:rsidRPr="008A418F">
              <w:rPr>
                <w:noProof/>
                <w:lang w:eastAsia="en-GB"/>
              </w:rPr>
              <w:drawing>
                <wp:inline distT="0" distB="0" distL="0" distR="0">
                  <wp:extent cx="514350" cy="495300"/>
                  <wp:effectExtent l="19050" t="0" r="0" b="0"/>
                  <wp:docPr id="4" name="Picture 0" descr="Adobe_PDF_ico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49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18F" w:rsidRPr="00025F7D" w:rsidRDefault="008A418F" w:rsidP="008A418F">
            <w:r>
              <w:rPr>
                <w:noProof/>
                <w:lang w:eastAsia="en-GB"/>
              </w:rPr>
              <w:t xml:space="preserve">          </w:t>
            </w:r>
            <w:hyperlink r:id="rId13" w:history="1">
              <w:r w:rsidR="00813DE3" w:rsidRPr="00BC2481">
                <w:rPr>
                  <w:rStyle w:val="Hyperlink"/>
                  <w:noProof/>
                  <w:lang w:eastAsia="en-GB"/>
                </w:rPr>
                <w:t>(18-78)</w:t>
              </w:r>
            </w:hyperlink>
          </w:p>
        </w:tc>
      </w:tr>
      <w:tr w:rsidR="008A418F" w:rsidRPr="00670B38" w:rsidTr="002A75E7">
        <w:trPr>
          <w:trHeight w:val="1602"/>
          <w:tblCellSpacing w:w="0" w:type="dxa"/>
        </w:trPr>
        <w:tc>
          <w:tcPr>
            <w:tcW w:w="8796" w:type="dxa"/>
            <w:vAlign w:val="center"/>
          </w:tcPr>
          <w:p w:rsidR="008A418F" w:rsidRDefault="008A418F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 xml:space="preserve">Mr </w:t>
            </w:r>
            <w:proofErr w:type="spellStart"/>
            <w:r>
              <w:rPr>
                <w:bCs w:val="0"/>
                <w:color w:val="1F497D" w:themeColor="text2"/>
                <w:sz w:val="22"/>
                <w:szCs w:val="20"/>
              </w:rPr>
              <w:t>Neeraj</w:t>
            </w:r>
            <w:proofErr w:type="spellEnd"/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proofErr w:type="spellStart"/>
            <w:r>
              <w:rPr>
                <w:bCs w:val="0"/>
                <w:color w:val="1F497D" w:themeColor="text2"/>
                <w:sz w:val="22"/>
                <w:szCs w:val="20"/>
              </w:rPr>
              <w:t>Salwan</w:t>
            </w:r>
            <w:proofErr w:type="spellEnd"/>
            <w:r>
              <w:rPr>
                <w:bCs w:val="0"/>
                <w:color w:val="1F497D" w:themeColor="text2"/>
                <w:sz w:val="22"/>
                <w:szCs w:val="20"/>
              </w:rPr>
              <w:t xml:space="preserve"> (Village Pharmacy) </w:t>
            </w:r>
            <w:r w:rsidRPr="002A75E7">
              <w:rPr>
                <w:b w:val="0"/>
                <w:bCs w:val="0"/>
                <w:sz w:val="22"/>
                <w:szCs w:val="20"/>
              </w:rPr>
              <w:t xml:space="preserve">against the decision of the Pharmacy Practices Committee of NHS Ayrshire and Arran issued on 10th July 2018 to refuse an application made by the Applicants and Appellants dated </w:t>
            </w:r>
            <w:r w:rsidR="00F347EA">
              <w:rPr>
                <w:b w:val="0"/>
                <w:bCs w:val="0"/>
                <w:sz w:val="22"/>
                <w:szCs w:val="20"/>
              </w:rPr>
              <w:t>19</w:t>
            </w:r>
            <w:r w:rsidR="00F347EA" w:rsidRPr="00F347EA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="00F347EA">
              <w:rPr>
                <w:b w:val="0"/>
                <w:bCs w:val="0"/>
                <w:sz w:val="22"/>
                <w:szCs w:val="20"/>
              </w:rPr>
              <w:t xml:space="preserve"> April 2018</w:t>
            </w:r>
            <w:r w:rsidRPr="002A75E7">
              <w:rPr>
                <w:b w:val="0"/>
                <w:bCs w:val="0"/>
                <w:sz w:val="22"/>
                <w:szCs w:val="20"/>
              </w:rPr>
              <w:t xml:space="preserve"> in respect of premises at 126 Main Street, West Kilbride KA23 9AR</w:t>
            </w:r>
            <w:r w:rsidR="002A75E7" w:rsidRPr="002A75E7">
              <w:rPr>
                <w:b w:val="0"/>
                <w:bCs w:val="0"/>
                <w:sz w:val="22"/>
                <w:szCs w:val="20"/>
              </w:rPr>
              <w:t>.</w:t>
            </w:r>
          </w:p>
          <w:p w:rsidR="002A75E7" w:rsidRPr="00813DE3" w:rsidRDefault="002A75E7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 w:rsidRPr="002A75E7">
              <w:rPr>
                <w:sz w:val="22"/>
                <w:szCs w:val="20"/>
              </w:rPr>
              <w:t>Appeal Dismissed 26th October 2018</w:t>
            </w:r>
          </w:p>
        </w:tc>
        <w:tc>
          <w:tcPr>
            <w:tcW w:w="1694" w:type="dxa"/>
            <w:vAlign w:val="center"/>
          </w:tcPr>
          <w:p w:rsidR="00F347EA" w:rsidRDefault="00F347EA" w:rsidP="00F347EA">
            <w:pPr>
              <w:jc w:val="center"/>
              <w:rPr>
                <w:noProof/>
                <w:lang w:eastAsia="en-GB"/>
              </w:rPr>
            </w:pPr>
            <w:r w:rsidRPr="00F347EA">
              <w:rPr>
                <w:noProof/>
                <w:lang w:eastAsia="en-GB"/>
              </w:rPr>
              <w:drawing>
                <wp:inline distT="0" distB="0" distL="0" distR="0">
                  <wp:extent cx="514350" cy="495300"/>
                  <wp:effectExtent l="19050" t="0" r="0" b="0"/>
                  <wp:docPr id="2" name="Picture 0" descr="Adobe_PDF_icon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49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7EA" w:rsidRPr="008A418F" w:rsidRDefault="004A3342" w:rsidP="008A418F">
            <w:pPr>
              <w:jc w:val="center"/>
              <w:rPr>
                <w:noProof/>
                <w:lang w:eastAsia="en-GB"/>
              </w:rPr>
            </w:pPr>
            <w:hyperlink r:id="rId15" w:history="1">
              <w:r w:rsidR="00F347EA" w:rsidRPr="00F347EA">
                <w:rPr>
                  <w:rStyle w:val="Hyperlink"/>
                  <w:noProof/>
                  <w:lang w:eastAsia="en-GB"/>
                </w:rPr>
                <w:t>(18-79)</w:t>
              </w:r>
            </w:hyperlink>
          </w:p>
        </w:tc>
      </w:tr>
      <w:tr w:rsidR="00DA7879" w:rsidRPr="00670B38" w:rsidTr="002A75E7">
        <w:trPr>
          <w:trHeight w:val="1602"/>
          <w:tblCellSpacing w:w="0" w:type="dxa"/>
        </w:trPr>
        <w:tc>
          <w:tcPr>
            <w:tcW w:w="8796" w:type="dxa"/>
            <w:vAlign w:val="center"/>
          </w:tcPr>
          <w:p w:rsidR="00DA7879" w:rsidRPr="00894C7D" w:rsidRDefault="00DA7879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>The Red Band Chemical Company Ltd t/a Lindsay &amp; Gilmore</w:t>
            </w:r>
            <w:r w:rsidR="00C950F0">
              <w:rPr>
                <w:bCs w:val="0"/>
                <w:color w:val="1F497D" w:themeColor="text2"/>
                <w:sz w:val="22"/>
                <w:szCs w:val="20"/>
              </w:rPr>
              <w:t xml:space="preserve"> (Appellants)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Pr="00894C7D">
              <w:rPr>
                <w:b w:val="0"/>
                <w:bCs w:val="0"/>
                <w:sz w:val="22"/>
                <w:szCs w:val="20"/>
              </w:rPr>
              <w:t>against the d</w:t>
            </w:r>
            <w:r w:rsidR="00894C7D">
              <w:rPr>
                <w:b w:val="0"/>
                <w:bCs w:val="0"/>
                <w:sz w:val="22"/>
                <w:szCs w:val="20"/>
              </w:rPr>
              <w:t>ecision of the Pharmacy Practic</w:t>
            </w:r>
            <w:r w:rsidRPr="00894C7D">
              <w:rPr>
                <w:b w:val="0"/>
                <w:bCs w:val="0"/>
                <w:sz w:val="22"/>
                <w:szCs w:val="20"/>
              </w:rPr>
              <w:t>es Committee of NHS Lothian issued on 30th August 2018 to grant an application made by David Stevenson (Applicant) dated</w:t>
            </w:r>
            <w:r w:rsidR="00894C7D">
              <w:rPr>
                <w:b w:val="0"/>
                <w:bCs w:val="0"/>
                <w:sz w:val="22"/>
                <w:szCs w:val="20"/>
              </w:rPr>
              <w:t xml:space="preserve"> 31</w:t>
            </w:r>
            <w:r w:rsidR="00894C7D" w:rsidRPr="00894C7D">
              <w:rPr>
                <w:b w:val="0"/>
                <w:bCs w:val="0"/>
                <w:sz w:val="22"/>
                <w:szCs w:val="20"/>
                <w:vertAlign w:val="superscript"/>
              </w:rPr>
              <w:t>st</w:t>
            </w:r>
            <w:r w:rsidR="00894C7D">
              <w:rPr>
                <w:b w:val="0"/>
                <w:bCs w:val="0"/>
                <w:sz w:val="22"/>
                <w:szCs w:val="20"/>
              </w:rPr>
              <w:t xml:space="preserve"> March 2016</w:t>
            </w:r>
            <w:r w:rsidRPr="00894C7D">
              <w:rPr>
                <w:b w:val="0"/>
                <w:bCs w:val="0"/>
                <w:sz w:val="22"/>
                <w:szCs w:val="20"/>
              </w:rPr>
              <w:t xml:space="preserve"> in respect of premises at 25 Main Street, Mid Calder, Livingston, West Lothian, EH53 0AS.</w:t>
            </w:r>
          </w:p>
          <w:p w:rsidR="00DA7879" w:rsidRDefault="00DA7879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 w:rsidRPr="00DA7879">
              <w:rPr>
                <w:sz w:val="22"/>
                <w:szCs w:val="20"/>
              </w:rPr>
              <w:t>Returned to Board 29th November 2018</w:t>
            </w:r>
          </w:p>
        </w:tc>
        <w:tc>
          <w:tcPr>
            <w:tcW w:w="1694" w:type="dxa"/>
            <w:vAlign w:val="center"/>
          </w:tcPr>
          <w:p w:rsidR="00DA7879" w:rsidRDefault="00894C7D" w:rsidP="00F347EA">
            <w:pPr>
              <w:jc w:val="center"/>
              <w:rPr>
                <w:noProof/>
                <w:lang w:eastAsia="en-GB"/>
              </w:rPr>
            </w:pPr>
            <w:r w:rsidRPr="00894C7D">
              <w:rPr>
                <w:noProof/>
                <w:lang w:eastAsia="en-GB"/>
              </w:rPr>
              <w:drawing>
                <wp:inline distT="0" distB="0" distL="0" distR="0">
                  <wp:extent cx="514350" cy="495300"/>
                  <wp:effectExtent l="19050" t="0" r="0" b="0"/>
                  <wp:docPr id="3" name="Picture 0" descr="Adobe_PDF_icon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49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C7D" w:rsidRDefault="004A3342" w:rsidP="00F347EA">
            <w:pPr>
              <w:jc w:val="center"/>
            </w:pPr>
            <w:hyperlink r:id="rId17" w:history="1">
              <w:r w:rsidR="00894C7D" w:rsidRPr="000D4CD7">
                <w:rPr>
                  <w:rStyle w:val="Hyperlink"/>
                  <w:noProof/>
                  <w:lang w:eastAsia="en-GB"/>
                </w:rPr>
                <w:t>(18-80)</w:t>
              </w:r>
            </w:hyperlink>
          </w:p>
          <w:p w:rsidR="00C93A3E" w:rsidRDefault="00C93A3E" w:rsidP="00F347EA">
            <w:pPr>
              <w:jc w:val="center"/>
            </w:pPr>
          </w:p>
          <w:p w:rsidR="00C93A3E" w:rsidRPr="00F347EA" w:rsidRDefault="00C93A3E" w:rsidP="00C93A3E">
            <w:pPr>
              <w:rPr>
                <w:noProof/>
                <w:lang w:eastAsia="en-GB"/>
              </w:rPr>
            </w:pPr>
          </w:p>
        </w:tc>
      </w:tr>
      <w:tr w:rsidR="00C93A3E" w:rsidRPr="00670B38" w:rsidTr="002A75E7">
        <w:trPr>
          <w:trHeight w:val="1602"/>
          <w:tblCellSpacing w:w="0" w:type="dxa"/>
        </w:trPr>
        <w:tc>
          <w:tcPr>
            <w:tcW w:w="8796" w:type="dxa"/>
            <w:vAlign w:val="center"/>
          </w:tcPr>
          <w:p w:rsidR="00C93A3E" w:rsidRDefault="00C93A3E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 xml:space="preserve">Monkton Pharmacy </w:t>
            </w:r>
            <w:r w:rsidRPr="00C93A3E">
              <w:rPr>
                <w:b w:val="0"/>
                <w:bCs w:val="0"/>
                <w:sz w:val="22"/>
                <w:szCs w:val="20"/>
              </w:rPr>
              <w:t xml:space="preserve">against the decision of the Pharmacy Practices Committee of NHS Ayrshire and Arran issued on 28th August 2018 to refuse an </w:t>
            </w:r>
            <w:proofErr w:type="gramStart"/>
            <w:r w:rsidRPr="00C93A3E">
              <w:rPr>
                <w:b w:val="0"/>
                <w:bCs w:val="0"/>
                <w:sz w:val="22"/>
                <w:szCs w:val="20"/>
              </w:rPr>
              <w:t>application  made</w:t>
            </w:r>
            <w:proofErr w:type="gramEnd"/>
            <w:r w:rsidRPr="00C93A3E">
              <w:rPr>
                <w:b w:val="0"/>
                <w:bCs w:val="0"/>
                <w:sz w:val="22"/>
                <w:szCs w:val="20"/>
              </w:rPr>
              <w:t xml:space="preserve"> by the Applicants and Appellants dated 19th October 2017 in respect of premises at 21 Main Street, Monkton, KA9 2QJ</w:t>
            </w:r>
            <w:r>
              <w:rPr>
                <w:b w:val="0"/>
                <w:bCs w:val="0"/>
                <w:sz w:val="22"/>
                <w:szCs w:val="20"/>
              </w:rPr>
              <w:t>.</w:t>
            </w:r>
          </w:p>
          <w:p w:rsidR="00C93A3E" w:rsidRDefault="00C93A3E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 w:rsidRPr="00C93A3E">
              <w:rPr>
                <w:sz w:val="22"/>
                <w:szCs w:val="20"/>
              </w:rPr>
              <w:t>Appeal dismissed 5th January 2019</w:t>
            </w:r>
          </w:p>
        </w:tc>
        <w:tc>
          <w:tcPr>
            <w:tcW w:w="1694" w:type="dxa"/>
            <w:vAlign w:val="center"/>
          </w:tcPr>
          <w:p w:rsidR="00C93A3E" w:rsidRDefault="00C93A3E" w:rsidP="00F347EA">
            <w:pPr>
              <w:jc w:val="center"/>
              <w:rPr>
                <w:noProof/>
                <w:lang w:eastAsia="en-GB"/>
              </w:rPr>
            </w:pPr>
            <w:r w:rsidRPr="00C93A3E">
              <w:rPr>
                <w:noProof/>
                <w:lang w:eastAsia="en-GB"/>
              </w:rPr>
              <w:drawing>
                <wp:inline distT="0" distB="0" distL="0" distR="0">
                  <wp:extent cx="514350" cy="495300"/>
                  <wp:effectExtent l="19050" t="0" r="0" b="0"/>
                  <wp:docPr id="5" name="Picture 0" descr="Adobe_PDF_icon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49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A3E" w:rsidRPr="00894C7D" w:rsidRDefault="00A6557A" w:rsidP="00F347EA">
            <w:pPr>
              <w:jc w:val="center"/>
              <w:rPr>
                <w:noProof/>
                <w:lang w:eastAsia="en-GB"/>
              </w:rPr>
            </w:pPr>
            <w:hyperlink r:id="rId19" w:history="1">
              <w:r w:rsidR="00C93A3E" w:rsidRPr="00A6557A">
                <w:rPr>
                  <w:rStyle w:val="Hyperlink"/>
                  <w:noProof/>
                  <w:lang w:eastAsia="en-GB"/>
                </w:rPr>
                <w:t>(18</w:t>
              </w:r>
              <w:r w:rsidR="00C93A3E" w:rsidRPr="00A6557A">
                <w:rPr>
                  <w:rStyle w:val="Hyperlink"/>
                  <w:noProof/>
                  <w:lang w:eastAsia="en-GB"/>
                </w:rPr>
                <w:t>-</w:t>
              </w:r>
              <w:r w:rsidR="00C93A3E" w:rsidRPr="00A6557A">
                <w:rPr>
                  <w:rStyle w:val="Hyperlink"/>
                  <w:noProof/>
                  <w:lang w:eastAsia="en-GB"/>
                </w:rPr>
                <w:t>8</w:t>
              </w:r>
              <w:r w:rsidR="00C93A3E" w:rsidRPr="00A6557A">
                <w:rPr>
                  <w:rStyle w:val="Hyperlink"/>
                  <w:noProof/>
                  <w:lang w:eastAsia="en-GB"/>
                </w:rPr>
                <w:t>1)</w:t>
              </w:r>
            </w:hyperlink>
          </w:p>
        </w:tc>
      </w:tr>
      <w:tr w:rsidR="00C93A3E" w:rsidRPr="00670B38" w:rsidTr="002A75E7">
        <w:trPr>
          <w:trHeight w:val="1602"/>
          <w:tblCellSpacing w:w="0" w:type="dxa"/>
        </w:trPr>
        <w:tc>
          <w:tcPr>
            <w:tcW w:w="8796" w:type="dxa"/>
            <w:vAlign w:val="center"/>
          </w:tcPr>
          <w:p w:rsidR="00C93A3E" w:rsidRDefault="00C93A3E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proofErr w:type="spellStart"/>
            <w:r>
              <w:rPr>
                <w:bCs w:val="0"/>
                <w:color w:val="1F497D" w:themeColor="text2"/>
                <w:sz w:val="22"/>
                <w:szCs w:val="20"/>
              </w:rPr>
              <w:t>Alderston</w:t>
            </w:r>
            <w:proofErr w:type="spellEnd"/>
            <w:r>
              <w:rPr>
                <w:bCs w:val="0"/>
                <w:color w:val="1F497D" w:themeColor="text2"/>
                <w:sz w:val="22"/>
                <w:szCs w:val="20"/>
              </w:rPr>
              <w:t xml:space="preserve"> Pharmacy, Lloyds Pharmacy and Boots UK Ltd</w:t>
            </w:r>
            <w:r w:rsidR="00C950F0">
              <w:rPr>
                <w:bCs w:val="0"/>
                <w:color w:val="1F497D" w:themeColor="text2"/>
                <w:sz w:val="22"/>
                <w:szCs w:val="20"/>
              </w:rPr>
              <w:t xml:space="preserve"> (Appellants)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Pr="00C950F0">
              <w:rPr>
                <w:b w:val="0"/>
                <w:bCs w:val="0"/>
                <w:sz w:val="22"/>
                <w:szCs w:val="20"/>
              </w:rPr>
              <w:t xml:space="preserve">against the decision of the Pharmacy Practices Committee of NHS Fife issued on 6th September 2018 </w:t>
            </w:r>
            <w:proofErr w:type="spellStart"/>
            <w:r w:rsidRPr="00C950F0">
              <w:rPr>
                <w:b w:val="0"/>
                <w:bCs w:val="0"/>
                <w:sz w:val="22"/>
                <w:szCs w:val="20"/>
              </w:rPr>
              <w:t>tp</w:t>
            </w:r>
            <w:proofErr w:type="spellEnd"/>
            <w:r w:rsidRPr="00C950F0">
              <w:rPr>
                <w:b w:val="0"/>
                <w:bCs w:val="0"/>
                <w:sz w:val="22"/>
                <w:szCs w:val="20"/>
              </w:rPr>
              <w:t xml:space="preserve"> grant an application made by Mr Mohammed </w:t>
            </w:r>
            <w:proofErr w:type="spellStart"/>
            <w:r w:rsidRPr="00C950F0">
              <w:rPr>
                <w:b w:val="0"/>
                <w:bCs w:val="0"/>
                <w:sz w:val="22"/>
                <w:szCs w:val="20"/>
              </w:rPr>
              <w:t>Ameen</w:t>
            </w:r>
            <w:proofErr w:type="spellEnd"/>
            <w:r w:rsidR="00C950F0" w:rsidRPr="00C950F0">
              <w:rPr>
                <w:b w:val="0"/>
                <w:bCs w:val="0"/>
                <w:sz w:val="22"/>
                <w:szCs w:val="20"/>
              </w:rPr>
              <w:t xml:space="preserve"> (Applicant) dated 11th April 2018 in respect of premises at 2 Loch Street, </w:t>
            </w:r>
            <w:proofErr w:type="spellStart"/>
            <w:r w:rsidR="00C950F0" w:rsidRPr="00C950F0">
              <w:rPr>
                <w:b w:val="0"/>
                <w:bCs w:val="0"/>
                <w:sz w:val="22"/>
                <w:szCs w:val="20"/>
              </w:rPr>
              <w:t>Townhill</w:t>
            </w:r>
            <w:proofErr w:type="spellEnd"/>
            <w:r w:rsidR="00C950F0" w:rsidRPr="00C950F0">
              <w:rPr>
                <w:b w:val="0"/>
                <w:bCs w:val="0"/>
                <w:sz w:val="22"/>
                <w:szCs w:val="20"/>
              </w:rPr>
              <w:t>, Fife, KY12 0HH</w:t>
            </w:r>
          </w:p>
          <w:p w:rsidR="00C950F0" w:rsidRDefault="00C950F0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Remitted back </w:t>
            </w:r>
            <w:r w:rsidRPr="00C950F0">
              <w:rPr>
                <w:sz w:val="22"/>
                <w:szCs w:val="20"/>
              </w:rPr>
              <w:t>to board 18th December 2018</w:t>
            </w:r>
          </w:p>
        </w:tc>
        <w:tc>
          <w:tcPr>
            <w:tcW w:w="1694" w:type="dxa"/>
            <w:vAlign w:val="center"/>
          </w:tcPr>
          <w:p w:rsidR="00C93A3E" w:rsidRDefault="00C950F0" w:rsidP="00F347EA">
            <w:pPr>
              <w:jc w:val="center"/>
              <w:rPr>
                <w:noProof/>
                <w:lang w:eastAsia="en-GB"/>
              </w:rPr>
            </w:pPr>
            <w:r w:rsidRPr="00C950F0">
              <w:rPr>
                <w:noProof/>
                <w:lang w:eastAsia="en-GB"/>
              </w:rPr>
              <w:drawing>
                <wp:inline distT="0" distB="0" distL="0" distR="0">
                  <wp:extent cx="514350" cy="495300"/>
                  <wp:effectExtent l="19050" t="0" r="0" b="0"/>
                  <wp:docPr id="6" name="Picture 0" descr="Adobe_PDF_icon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49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50F0" w:rsidRPr="00C93A3E" w:rsidRDefault="00A6557A" w:rsidP="00F347EA">
            <w:pPr>
              <w:jc w:val="center"/>
              <w:rPr>
                <w:noProof/>
                <w:lang w:eastAsia="en-GB"/>
              </w:rPr>
            </w:pPr>
            <w:hyperlink r:id="rId21" w:history="1">
              <w:r w:rsidR="00C950F0" w:rsidRPr="00A6557A">
                <w:rPr>
                  <w:rStyle w:val="Hyperlink"/>
                  <w:noProof/>
                  <w:lang w:eastAsia="en-GB"/>
                </w:rPr>
                <w:t>(18-82)</w:t>
              </w:r>
            </w:hyperlink>
          </w:p>
        </w:tc>
      </w:tr>
    </w:tbl>
    <w:p w:rsidR="00670646" w:rsidRPr="00670646" w:rsidRDefault="00670646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color w:val="006699"/>
          <w:sz w:val="22"/>
          <w:szCs w:val="20"/>
        </w:rPr>
        <w:t xml:space="preserve"> </w:t>
      </w:r>
    </w:p>
    <w:sectPr w:rsidR="00670646" w:rsidRPr="00670646" w:rsidSect="006F2225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3E" w:rsidRDefault="00C93A3E" w:rsidP="007832F1">
      <w:r>
        <w:separator/>
      </w:r>
    </w:p>
  </w:endnote>
  <w:endnote w:type="continuationSeparator" w:id="0">
    <w:p w:rsidR="00C93A3E" w:rsidRDefault="00C93A3E" w:rsidP="0078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3E" w:rsidRDefault="00C93A3E" w:rsidP="007832F1">
      <w:r>
        <w:separator/>
      </w:r>
    </w:p>
  </w:footnote>
  <w:footnote w:type="continuationSeparator" w:id="0">
    <w:p w:rsidR="00C93A3E" w:rsidRDefault="00C93A3E" w:rsidP="00783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B38"/>
    <w:rsid w:val="00025F7D"/>
    <w:rsid w:val="0009051D"/>
    <w:rsid w:val="000B04EB"/>
    <w:rsid w:val="000B0FFB"/>
    <w:rsid w:val="000B49C5"/>
    <w:rsid w:val="000C0171"/>
    <w:rsid w:val="000D4CD7"/>
    <w:rsid w:val="001026FD"/>
    <w:rsid w:val="0010509A"/>
    <w:rsid w:val="00107CE0"/>
    <w:rsid w:val="00130C54"/>
    <w:rsid w:val="00143B06"/>
    <w:rsid w:val="00146B51"/>
    <w:rsid w:val="00151F5C"/>
    <w:rsid w:val="00164C42"/>
    <w:rsid w:val="00172D17"/>
    <w:rsid w:val="001977F3"/>
    <w:rsid w:val="001B2F27"/>
    <w:rsid w:val="001B3629"/>
    <w:rsid w:val="001F1623"/>
    <w:rsid w:val="0024110F"/>
    <w:rsid w:val="0025334F"/>
    <w:rsid w:val="00257EAE"/>
    <w:rsid w:val="00260B49"/>
    <w:rsid w:val="00270DD9"/>
    <w:rsid w:val="002A75E7"/>
    <w:rsid w:val="00310FDA"/>
    <w:rsid w:val="00317484"/>
    <w:rsid w:val="00353756"/>
    <w:rsid w:val="00383850"/>
    <w:rsid w:val="00386EE3"/>
    <w:rsid w:val="00392BF9"/>
    <w:rsid w:val="003E3A18"/>
    <w:rsid w:val="003F723B"/>
    <w:rsid w:val="0041461A"/>
    <w:rsid w:val="004175AF"/>
    <w:rsid w:val="00423B07"/>
    <w:rsid w:val="00427F7D"/>
    <w:rsid w:val="00443592"/>
    <w:rsid w:val="00443C71"/>
    <w:rsid w:val="00455F00"/>
    <w:rsid w:val="00461030"/>
    <w:rsid w:val="004A0617"/>
    <w:rsid w:val="004A3342"/>
    <w:rsid w:val="004A3B01"/>
    <w:rsid w:val="004B4CAF"/>
    <w:rsid w:val="004D3D53"/>
    <w:rsid w:val="00512372"/>
    <w:rsid w:val="00536B34"/>
    <w:rsid w:val="00546AD8"/>
    <w:rsid w:val="00550685"/>
    <w:rsid w:val="00554E5A"/>
    <w:rsid w:val="0055635D"/>
    <w:rsid w:val="00586F7F"/>
    <w:rsid w:val="005D1139"/>
    <w:rsid w:val="006009F4"/>
    <w:rsid w:val="0061639F"/>
    <w:rsid w:val="006227FE"/>
    <w:rsid w:val="00670646"/>
    <w:rsid w:val="00670B38"/>
    <w:rsid w:val="00685E9C"/>
    <w:rsid w:val="006C359B"/>
    <w:rsid w:val="006C4127"/>
    <w:rsid w:val="006F2225"/>
    <w:rsid w:val="007153DB"/>
    <w:rsid w:val="0071752F"/>
    <w:rsid w:val="00774329"/>
    <w:rsid w:val="007832F1"/>
    <w:rsid w:val="007A5923"/>
    <w:rsid w:val="007D0E18"/>
    <w:rsid w:val="007D3ED3"/>
    <w:rsid w:val="008032E0"/>
    <w:rsid w:val="00813DE3"/>
    <w:rsid w:val="00833058"/>
    <w:rsid w:val="00833D52"/>
    <w:rsid w:val="00834290"/>
    <w:rsid w:val="00837249"/>
    <w:rsid w:val="00850B74"/>
    <w:rsid w:val="00865E39"/>
    <w:rsid w:val="00877786"/>
    <w:rsid w:val="00894C7D"/>
    <w:rsid w:val="00897CE5"/>
    <w:rsid w:val="008A418F"/>
    <w:rsid w:val="008B1FC2"/>
    <w:rsid w:val="008C39EC"/>
    <w:rsid w:val="008E1E13"/>
    <w:rsid w:val="008E399A"/>
    <w:rsid w:val="008F1708"/>
    <w:rsid w:val="00906C48"/>
    <w:rsid w:val="00920F23"/>
    <w:rsid w:val="00925676"/>
    <w:rsid w:val="00930B53"/>
    <w:rsid w:val="009367B8"/>
    <w:rsid w:val="009551EB"/>
    <w:rsid w:val="00957D08"/>
    <w:rsid w:val="009C2F2A"/>
    <w:rsid w:val="009D6E4B"/>
    <w:rsid w:val="009E55A0"/>
    <w:rsid w:val="00A0619C"/>
    <w:rsid w:val="00A13688"/>
    <w:rsid w:val="00A17736"/>
    <w:rsid w:val="00A205C7"/>
    <w:rsid w:val="00A4441A"/>
    <w:rsid w:val="00A451A3"/>
    <w:rsid w:val="00A5553F"/>
    <w:rsid w:val="00A631A1"/>
    <w:rsid w:val="00A6557A"/>
    <w:rsid w:val="00A7714A"/>
    <w:rsid w:val="00A81CFD"/>
    <w:rsid w:val="00AA54D0"/>
    <w:rsid w:val="00AB163E"/>
    <w:rsid w:val="00AB4758"/>
    <w:rsid w:val="00AB7AA0"/>
    <w:rsid w:val="00AC0F9A"/>
    <w:rsid w:val="00AE2FED"/>
    <w:rsid w:val="00AF167E"/>
    <w:rsid w:val="00AF5394"/>
    <w:rsid w:val="00AF5C9A"/>
    <w:rsid w:val="00B0182C"/>
    <w:rsid w:val="00B30D08"/>
    <w:rsid w:val="00B338FB"/>
    <w:rsid w:val="00B5238F"/>
    <w:rsid w:val="00B52978"/>
    <w:rsid w:val="00B67400"/>
    <w:rsid w:val="00B7646E"/>
    <w:rsid w:val="00BA69D0"/>
    <w:rsid w:val="00BB1250"/>
    <w:rsid w:val="00BB49BA"/>
    <w:rsid w:val="00BC2481"/>
    <w:rsid w:val="00BD53E0"/>
    <w:rsid w:val="00BF08F6"/>
    <w:rsid w:val="00BF0D7F"/>
    <w:rsid w:val="00C159F1"/>
    <w:rsid w:val="00C50E76"/>
    <w:rsid w:val="00C6242E"/>
    <w:rsid w:val="00C75A90"/>
    <w:rsid w:val="00C93A3E"/>
    <w:rsid w:val="00C950F0"/>
    <w:rsid w:val="00C962BB"/>
    <w:rsid w:val="00CA5A82"/>
    <w:rsid w:val="00CC661E"/>
    <w:rsid w:val="00CF0483"/>
    <w:rsid w:val="00D06BA6"/>
    <w:rsid w:val="00D16EB9"/>
    <w:rsid w:val="00D25C8F"/>
    <w:rsid w:val="00D43729"/>
    <w:rsid w:val="00D509D0"/>
    <w:rsid w:val="00D71707"/>
    <w:rsid w:val="00D820A6"/>
    <w:rsid w:val="00DA0E07"/>
    <w:rsid w:val="00DA147F"/>
    <w:rsid w:val="00DA77F3"/>
    <w:rsid w:val="00DA7879"/>
    <w:rsid w:val="00DD165B"/>
    <w:rsid w:val="00DE26E2"/>
    <w:rsid w:val="00E30E17"/>
    <w:rsid w:val="00E3555B"/>
    <w:rsid w:val="00E41D01"/>
    <w:rsid w:val="00EA4D87"/>
    <w:rsid w:val="00EA6266"/>
    <w:rsid w:val="00EB5C75"/>
    <w:rsid w:val="00EC406D"/>
    <w:rsid w:val="00F037D2"/>
    <w:rsid w:val="00F122A6"/>
    <w:rsid w:val="00F16692"/>
    <w:rsid w:val="00F17C61"/>
    <w:rsid w:val="00F32008"/>
    <w:rsid w:val="00F347EA"/>
    <w:rsid w:val="00F35E28"/>
    <w:rsid w:val="00F45E46"/>
    <w:rsid w:val="00F753DD"/>
    <w:rsid w:val="00F7660C"/>
    <w:rsid w:val="00F807FD"/>
    <w:rsid w:val="00FB11CA"/>
    <w:rsid w:val="00FC6777"/>
    <w:rsid w:val="00FC7472"/>
    <w:rsid w:val="00FF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3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0B38"/>
    <w:rPr>
      <w:color w:val="0000FF"/>
      <w:u w:val="single"/>
    </w:rPr>
  </w:style>
  <w:style w:type="paragraph" w:styleId="BodyText2">
    <w:name w:val="Body Text 2"/>
    <w:basedOn w:val="Normal"/>
    <w:link w:val="BodyText2Char"/>
    <w:rsid w:val="00670B38"/>
    <w:pPr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670B38"/>
    <w:rPr>
      <w:rFonts w:eastAsia="Times New Roman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3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F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F1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8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1E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hsc.scot/media/56802/nap-18-78-appeal-decision.pdf" TargetMode="External"/><Relationship Id="rId18" Type="http://schemas.openxmlformats.org/officeDocument/2006/relationships/hyperlink" Target="https://www.shsc.scot/media/58165/nap-18-81-appeal-decis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hsc.scot/media/58168/nap18-82-appeal-decision.pdf" TargetMode="External"/><Relationship Id="rId7" Type="http://schemas.openxmlformats.org/officeDocument/2006/relationships/hyperlink" Target="http://www.shsc.scot/media/55893/nap-18-76-appeal-decision.pdf" TargetMode="External"/><Relationship Id="rId12" Type="http://schemas.openxmlformats.org/officeDocument/2006/relationships/hyperlink" Target="https://www.shsc.scot/media/56802/nap-18-78-appeal-decision.pdf" TargetMode="External"/><Relationship Id="rId17" Type="http://schemas.openxmlformats.org/officeDocument/2006/relationships/hyperlink" Target="https://www.shsc.scot/media/57925/nap-18-80-appeal-decis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sc.scot/media/57925/nap-18-80-appeal-decision.pdf" TargetMode="External"/><Relationship Id="rId20" Type="http://schemas.openxmlformats.org/officeDocument/2006/relationships/hyperlink" Target="https://www.shsc.scot/media/58168/nap18-82-appeal-decision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hsc.scot/media/55969/nap-18-77-appeal-decis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sc.scot/media/57504/nap-18-79-appeal-decisio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hsc.scot/media/55969/nap-18-77-appeal-decision.pdf" TargetMode="External"/><Relationship Id="rId19" Type="http://schemas.openxmlformats.org/officeDocument/2006/relationships/hyperlink" Target="https://www.shsc.scot/media/58165/nap-18-81-appeal-deci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sc.scot/media/55893/nap-18-76-appeal-decision.pdf" TargetMode="External"/><Relationship Id="rId14" Type="http://schemas.openxmlformats.org/officeDocument/2006/relationships/hyperlink" Target="https://www.shsc.scot/media/57504/nap-18-79-appeal-decisio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C66A-5EBB-42A6-8937-FD4A282E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fionak01</dc:creator>
  <cp:lastModifiedBy>lorram02</cp:lastModifiedBy>
  <cp:revision>6</cp:revision>
  <dcterms:created xsi:type="dcterms:W3CDTF">2018-11-14T10:15:00Z</dcterms:created>
  <dcterms:modified xsi:type="dcterms:W3CDTF">2019-01-30T11:33:00Z</dcterms:modified>
</cp:coreProperties>
</file>